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64CDB" w14:paraId="4BA92CE1" w14:textId="77777777" w:rsidTr="00E64CDB">
        <w:trPr>
          <w:trHeight w:val="1833"/>
        </w:trPr>
        <w:tc>
          <w:tcPr>
            <w:tcW w:w="9016" w:type="dxa"/>
          </w:tcPr>
          <w:p w14:paraId="63B8B801" w14:textId="77777777" w:rsidR="00E64CDB" w:rsidRDefault="00E64CDB">
            <w:pPr>
              <w:rPr>
                <w:rFonts w:eastAsia="Times New Roman"/>
                <w:noProof/>
                <w:lang w:eastAsia="en-GB"/>
              </w:rPr>
            </w:pPr>
            <w:r>
              <w:rPr>
                <w:rFonts w:eastAsia="Times New Roman"/>
                <w:noProof/>
                <w:lang w:val="en-US"/>
              </w:rPr>
              <w:drawing>
                <wp:anchor distT="0" distB="0" distL="114300" distR="114300" simplePos="0" relativeHeight="251658240" behindDoc="0" locked="0" layoutInCell="1" allowOverlap="1" wp14:anchorId="1C0DB1CC" wp14:editId="5F5EFBD9">
                  <wp:simplePos x="0" y="0"/>
                  <wp:positionH relativeFrom="column">
                    <wp:posOffset>33020</wp:posOffset>
                  </wp:positionH>
                  <wp:positionV relativeFrom="paragraph">
                    <wp:posOffset>136525</wp:posOffset>
                  </wp:positionV>
                  <wp:extent cx="1119600" cy="874800"/>
                  <wp:effectExtent l="0" t="0" r="0" b="0"/>
                  <wp:wrapNone/>
                  <wp:docPr id="1" name="Picture 1" descr="cid:6E6F43EA-C978-4DE4-8F03-193F09DC6E2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BB0C7E-A58C-4980-8C2F-336504869BF5" descr="cid:6E6F43EA-C978-4DE4-8F03-193F09DC6E29@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9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lang w:eastAsia="en-GB"/>
              </w:rPr>
              <w:t xml:space="preserve">                                                 </w:t>
            </w:r>
          </w:p>
          <w:p w14:paraId="4077FD4B" w14:textId="1730886E" w:rsidR="00E64CDB" w:rsidRDefault="00E64CDB">
            <w:pPr>
              <w:rPr>
                <w:rFonts w:ascii="Gill Sans MT" w:eastAsia="Times New Roman" w:hAnsi="Gill Sans MT"/>
                <w:noProof/>
                <w:sz w:val="40"/>
                <w:szCs w:val="40"/>
                <w:lang w:eastAsia="en-GB"/>
              </w:rPr>
            </w:pPr>
            <w:r>
              <w:rPr>
                <w:rFonts w:ascii="Gill Sans MT" w:eastAsia="Times New Roman" w:hAnsi="Gill Sans MT"/>
                <w:noProof/>
                <w:sz w:val="40"/>
                <w:szCs w:val="40"/>
                <w:lang w:eastAsia="en-GB"/>
              </w:rPr>
              <w:t xml:space="preserve">                       </w:t>
            </w:r>
            <w:r w:rsidR="008B589E">
              <w:rPr>
                <w:rFonts w:ascii="Gill Sans MT" w:eastAsia="Times New Roman" w:hAnsi="Gill Sans MT"/>
                <w:noProof/>
                <w:sz w:val="40"/>
                <w:szCs w:val="40"/>
                <w:lang w:eastAsia="en-GB"/>
              </w:rPr>
              <w:t xml:space="preserve">IB </w:t>
            </w:r>
            <w:r w:rsidR="00005906">
              <w:rPr>
                <w:rFonts w:ascii="Gill Sans MT" w:eastAsia="Times New Roman" w:hAnsi="Gill Sans MT"/>
                <w:noProof/>
                <w:sz w:val="40"/>
                <w:szCs w:val="40"/>
                <w:lang w:eastAsia="en-GB"/>
              </w:rPr>
              <w:t>History</w:t>
            </w:r>
            <w:r w:rsidR="00F10637">
              <w:rPr>
                <w:rFonts w:ascii="Gill Sans MT" w:eastAsia="Times New Roman" w:hAnsi="Gill Sans MT"/>
                <w:noProof/>
                <w:sz w:val="40"/>
                <w:szCs w:val="40"/>
                <w:lang w:eastAsia="en-GB"/>
              </w:rPr>
              <w:t xml:space="preserve"> </w:t>
            </w:r>
            <w:r w:rsidR="001329DD">
              <w:rPr>
                <w:rFonts w:ascii="Gill Sans MT" w:eastAsia="Times New Roman" w:hAnsi="Gill Sans MT"/>
                <w:noProof/>
                <w:sz w:val="40"/>
                <w:szCs w:val="40"/>
                <w:lang w:eastAsia="en-GB"/>
              </w:rPr>
              <w:t>(</w:t>
            </w:r>
            <w:r w:rsidR="00A0709F">
              <w:rPr>
                <w:rFonts w:ascii="Gill Sans MT" w:eastAsia="Times New Roman" w:hAnsi="Gill Sans MT"/>
                <w:noProof/>
                <w:sz w:val="40"/>
                <w:szCs w:val="40"/>
                <w:lang w:eastAsia="en-GB"/>
              </w:rPr>
              <w:t>HL/</w:t>
            </w:r>
            <w:r w:rsidR="00F10637">
              <w:rPr>
                <w:rFonts w:ascii="Gill Sans MT" w:eastAsia="Times New Roman" w:hAnsi="Gill Sans MT"/>
                <w:noProof/>
                <w:sz w:val="40"/>
                <w:szCs w:val="40"/>
                <w:lang w:eastAsia="en-GB"/>
              </w:rPr>
              <w:t>SL)</w:t>
            </w:r>
          </w:p>
          <w:p w14:paraId="563CF48C" w14:textId="77777777" w:rsidR="00E64CDB" w:rsidRDefault="00E64CDB">
            <w:pPr>
              <w:rPr>
                <w:rFonts w:ascii="Gill Sans MT" w:eastAsia="Times New Roman" w:hAnsi="Gill Sans MT"/>
                <w:noProof/>
                <w:sz w:val="40"/>
                <w:szCs w:val="40"/>
                <w:lang w:eastAsia="en-GB"/>
              </w:rPr>
            </w:pPr>
          </w:p>
          <w:p w14:paraId="7B7E7194" w14:textId="685450B0" w:rsidR="00E64CDB" w:rsidRPr="00E64CDB" w:rsidRDefault="00E64CDB">
            <w:pPr>
              <w:rPr>
                <w:rFonts w:ascii="Gill Sans MT" w:eastAsia="Times New Roman" w:hAnsi="Gill Sans MT"/>
                <w:noProof/>
                <w:sz w:val="32"/>
                <w:szCs w:val="32"/>
                <w:lang w:eastAsia="en-GB"/>
              </w:rPr>
            </w:pPr>
            <w:r>
              <w:rPr>
                <w:rFonts w:ascii="Gill Sans MT" w:eastAsia="Times New Roman" w:hAnsi="Gill Sans MT"/>
                <w:noProof/>
                <w:sz w:val="32"/>
                <w:szCs w:val="32"/>
                <w:lang w:eastAsia="en-GB"/>
              </w:rPr>
              <w:t xml:space="preserve">                             Exam Board:   </w:t>
            </w:r>
            <w:r w:rsidR="00DA623B">
              <w:rPr>
                <w:rFonts w:ascii="Gill Sans MT" w:eastAsia="Times New Roman" w:hAnsi="Gill Sans MT"/>
                <w:noProof/>
                <w:sz w:val="32"/>
                <w:szCs w:val="32"/>
                <w:lang w:eastAsia="en-GB"/>
              </w:rPr>
              <w:t xml:space="preserve">Intenrational Baccualuratte </w:t>
            </w:r>
          </w:p>
          <w:p w14:paraId="3CD828FC" w14:textId="77777777" w:rsidR="00E64CDB" w:rsidRDefault="00E64CDB"/>
        </w:tc>
      </w:tr>
    </w:tbl>
    <w:p w14:paraId="342B8BB5" w14:textId="77777777" w:rsidR="00E64CDB" w:rsidRDefault="00E64CDB"/>
    <w:tbl>
      <w:tblPr>
        <w:tblStyle w:val="TableGrid"/>
        <w:tblW w:w="0" w:type="auto"/>
        <w:tblLook w:val="04A0" w:firstRow="1" w:lastRow="0" w:firstColumn="1" w:lastColumn="0" w:noHBand="0" w:noVBand="1"/>
      </w:tblPr>
      <w:tblGrid>
        <w:gridCol w:w="9016"/>
      </w:tblGrid>
      <w:tr w:rsidR="00E64CDB" w14:paraId="3418A2D0" w14:textId="77777777" w:rsidTr="00F40917">
        <w:tc>
          <w:tcPr>
            <w:tcW w:w="9016" w:type="dxa"/>
            <w:shd w:val="clear" w:color="auto" w:fill="D9D9D9" w:themeFill="background1" w:themeFillShade="D9"/>
          </w:tcPr>
          <w:p w14:paraId="059B5BAD" w14:textId="77777777" w:rsidR="00E64CDB" w:rsidRPr="00F40917" w:rsidRDefault="00E64CDB">
            <w:pPr>
              <w:rPr>
                <w:rFonts w:ascii="Gill Sans MT" w:hAnsi="Gill Sans MT"/>
                <w:b/>
                <w:sz w:val="28"/>
                <w:szCs w:val="28"/>
              </w:rPr>
            </w:pPr>
            <w:r w:rsidRPr="00F40917">
              <w:rPr>
                <w:rFonts w:ascii="Gill Sans MT" w:hAnsi="Gill Sans MT"/>
                <w:b/>
                <w:sz w:val="28"/>
                <w:szCs w:val="28"/>
              </w:rPr>
              <w:t>About this subject</w:t>
            </w:r>
          </w:p>
        </w:tc>
      </w:tr>
      <w:tr w:rsidR="00E64CDB" w14:paraId="1FF957EA" w14:textId="77777777" w:rsidTr="00005906">
        <w:trPr>
          <w:trHeight w:val="3442"/>
        </w:trPr>
        <w:tc>
          <w:tcPr>
            <w:tcW w:w="9016" w:type="dxa"/>
          </w:tcPr>
          <w:p w14:paraId="3686D9D9" w14:textId="77777777" w:rsidR="00F10637" w:rsidRDefault="00F10637" w:rsidP="00F10637">
            <w:pPr>
              <w:spacing w:line="276" w:lineRule="auto"/>
              <w:jc w:val="both"/>
              <w:rPr>
                <w:rFonts w:ascii="Arial" w:hAnsi="Arial" w:cs="Arial"/>
                <w:sz w:val="21"/>
                <w:szCs w:val="21"/>
              </w:rPr>
            </w:pPr>
          </w:p>
          <w:p w14:paraId="43EE89C7" w14:textId="77777777" w:rsidR="00005906" w:rsidRPr="006C5ABD" w:rsidRDefault="00005906" w:rsidP="00005906">
            <w:pPr>
              <w:spacing w:line="276" w:lineRule="auto"/>
              <w:jc w:val="both"/>
              <w:rPr>
                <w:rFonts w:ascii="Arial" w:hAnsi="Arial" w:cs="Arial"/>
                <w:sz w:val="21"/>
                <w:szCs w:val="21"/>
              </w:rPr>
            </w:pPr>
            <w:r w:rsidRPr="006C5ABD">
              <w:rPr>
                <w:rFonts w:ascii="Arial" w:hAnsi="Arial" w:cs="Arial"/>
                <w:sz w:val="21"/>
                <w:szCs w:val="21"/>
              </w:rPr>
              <w:t>History is more than the study of the past. It is the process of recording, reconstructing and interpreting the past through the investigation of a variety of sources.</w:t>
            </w:r>
          </w:p>
          <w:p w14:paraId="312873FB" w14:textId="77777777" w:rsidR="00005906" w:rsidRPr="006C5ABD" w:rsidRDefault="00005906" w:rsidP="00005906">
            <w:pPr>
              <w:widowControl w:val="0"/>
              <w:autoSpaceDE w:val="0"/>
              <w:autoSpaceDN w:val="0"/>
              <w:adjustRightInd w:val="0"/>
              <w:spacing w:line="276" w:lineRule="auto"/>
              <w:jc w:val="both"/>
              <w:rPr>
                <w:rFonts w:ascii="Arial" w:hAnsi="Arial" w:cs="Arial"/>
                <w:sz w:val="21"/>
                <w:szCs w:val="21"/>
              </w:rPr>
            </w:pPr>
          </w:p>
          <w:p w14:paraId="77F6321B" w14:textId="77777777" w:rsidR="00005906" w:rsidRPr="006C5ABD" w:rsidRDefault="00005906" w:rsidP="00005906">
            <w:pPr>
              <w:widowControl w:val="0"/>
              <w:autoSpaceDE w:val="0"/>
              <w:autoSpaceDN w:val="0"/>
              <w:adjustRightInd w:val="0"/>
              <w:spacing w:line="276" w:lineRule="auto"/>
              <w:jc w:val="both"/>
              <w:rPr>
                <w:rFonts w:ascii="Arial" w:hAnsi="Arial" w:cs="Arial"/>
                <w:color w:val="262626"/>
                <w:sz w:val="21"/>
                <w:szCs w:val="21"/>
              </w:rPr>
            </w:pPr>
            <w:r w:rsidRPr="006C5ABD">
              <w:rPr>
                <w:rFonts w:ascii="Arial" w:hAnsi="Arial" w:cs="Arial"/>
                <w:color w:val="262626"/>
                <w:sz w:val="21"/>
                <w:szCs w:val="21"/>
              </w:rPr>
              <w:t>It is a discipline that gives people an understanding of themselves and others in relation to the world, both past and present.</w:t>
            </w:r>
          </w:p>
          <w:p w14:paraId="3AED326A" w14:textId="77777777" w:rsidR="00005906" w:rsidRPr="006C5ABD" w:rsidRDefault="00005906" w:rsidP="00005906">
            <w:pPr>
              <w:widowControl w:val="0"/>
              <w:autoSpaceDE w:val="0"/>
              <w:autoSpaceDN w:val="0"/>
              <w:adjustRightInd w:val="0"/>
              <w:spacing w:line="276" w:lineRule="auto"/>
              <w:jc w:val="both"/>
              <w:rPr>
                <w:rFonts w:ascii="Arial" w:hAnsi="Arial" w:cs="Arial"/>
                <w:color w:val="262626"/>
                <w:sz w:val="21"/>
                <w:szCs w:val="21"/>
              </w:rPr>
            </w:pPr>
          </w:p>
          <w:p w14:paraId="62422E5C" w14:textId="0B29FF33" w:rsidR="00A0709F" w:rsidRPr="00005906" w:rsidRDefault="00005906" w:rsidP="00005906">
            <w:pPr>
              <w:widowControl w:val="0"/>
              <w:autoSpaceDE w:val="0"/>
              <w:autoSpaceDN w:val="0"/>
              <w:adjustRightInd w:val="0"/>
              <w:spacing w:line="276" w:lineRule="auto"/>
              <w:jc w:val="both"/>
              <w:rPr>
                <w:rFonts w:ascii="Arial" w:hAnsi="Arial" w:cs="Arial"/>
                <w:color w:val="262626"/>
                <w:sz w:val="21"/>
                <w:szCs w:val="21"/>
              </w:rPr>
            </w:pPr>
            <w:r w:rsidRPr="006C5ABD">
              <w:rPr>
                <w:rFonts w:ascii="Arial" w:hAnsi="Arial" w:cs="Arial"/>
                <w:color w:val="262626"/>
                <w:sz w:val="21"/>
                <w:szCs w:val="21"/>
              </w:rPr>
              <w:t>The Diploma Programme history course aims to promote an understanding of history as a discipline, including the nature and diversity of its sources, methods and interpretations. It also helps students to gain a better understanding of the present through critical reflection upon the past. It is hoped that many students who follow the course will become fascinated with the discipline, developing a lasting interest in it whether or not they continue to study it formally.</w:t>
            </w:r>
          </w:p>
        </w:tc>
      </w:tr>
      <w:tr w:rsidR="00E64CDB" w14:paraId="2E8BA773" w14:textId="77777777" w:rsidTr="00F40917">
        <w:tc>
          <w:tcPr>
            <w:tcW w:w="9016" w:type="dxa"/>
            <w:shd w:val="clear" w:color="auto" w:fill="D9D9D9" w:themeFill="background1" w:themeFillShade="D9"/>
          </w:tcPr>
          <w:p w14:paraId="3BAE7357" w14:textId="77777777" w:rsidR="00E64CDB" w:rsidRPr="00F40917" w:rsidRDefault="00E64CDB">
            <w:pPr>
              <w:rPr>
                <w:rFonts w:ascii="Gill Sans MT" w:hAnsi="Gill Sans MT"/>
                <w:b/>
                <w:sz w:val="28"/>
                <w:szCs w:val="28"/>
              </w:rPr>
            </w:pPr>
            <w:r w:rsidRPr="00F40917">
              <w:rPr>
                <w:rFonts w:ascii="Gill Sans MT" w:hAnsi="Gill Sans MT"/>
                <w:b/>
                <w:sz w:val="28"/>
                <w:szCs w:val="28"/>
              </w:rPr>
              <w:t>Course content</w:t>
            </w:r>
          </w:p>
        </w:tc>
      </w:tr>
      <w:tr w:rsidR="00E64CDB" w14:paraId="4EDB1327" w14:textId="77777777" w:rsidTr="00E64CDB">
        <w:tc>
          <w:tcPr>
            <w:tcW w:w="9016" w:type="dxa"/>
          </w:tcPr>
          <w:p w14:paraId="118A0779" w14:textId="77777777" w:rsidR="00E6179D" w:rsidRDefault="00E6179D" w:rsidP="00005906">
            <w:pPr>
              <w:pStyle w:val="ListParagraph"/>
              <w:ind w:left="480"/>
              <w:rPr>
                <w:rFonts w:ascii="Arial" w:hAnsi="Arial" w:cs="Arial"/>
                <w:color w:val="262626"/>
                <w:sz w:val="21"/>
                <w:szCs w:val="21"/>
                <w:lang w:val="en-US"/>
              </w:rPr>
            </w:pPr>
          </w:p>
          <w:p w14:paraId="37742347" w14:textId="77777777" w:rsidR="00005906" w:rsidRPr="006C5ABD" w:rsidRDefault="00005906" w:rsidP="00005906">
            <w:pPr>
              <w:widowControl w:val="0"/>
              <w:autoSpaceDE w:val="0"/>
              <w:autoSpaceDN w:val="0"/>
              <w:adjustRightInd w:val="0"/>
              <w:spacing w:line="276" w:lineRule="auto"/>
              <w:jc w:val="both"/>
              <w:rPr>
                <w:rFonts w:ascii="Arial" w:hAnsi="Arial" w:cs="Arial"/>
                <w:color w:val="262626"/>
                <w:sz w:val="21"/>
                <w:szCs w:val="21"/>
              </w:rPr>
            </w:pPr>
            <w:r w:rsidRPr="006C5ABD">
              <w:rPr>
                <w:rFonts w:ascii="Arial" w:hAnsi="Arial" w:cs="Arial"/>
                <w:color w:val="262626"/>
                <w:sz w:val="21"/>
                <w:szCs w:val="21"/>
              </w:rPr>
              <w:t>Students and teachers have a choice of two routes through the Diploma Programme history course. The route one history course explores the main developments in the history of Europe and the Islamic world from 500 to 1570, while the route two history course focuses on 20th century world history.</w:t>
            </w:r>
          </w:p>
          <w:p w14:paraId="7D7A1CA7" w14:textId="77777777" w:rsidR="00005906" w:rsidRPr="006C5ABD" w:rsidRDefault="00005906" w:rsidP="00005906">
            <w:pPr>
              <w:widowControl w:val="0"/>
              <w:autoSpaceDE w:val="0"/>
              <w:autoSpaceDN w:val="0"/>
              <w:adjustRightInd w:val="0"/>
              <w:spacing w:line="276" w:lineRule="auto"/>
              <w:jc w:val="both"/>
              <w:rPr>
                <w:rFonts w:ascii="Arial" w:hAnsi="Arial" w:cs="Arial"/>
                <w:color w:val="262626"/>
                <w:sz w:val="21"/>
                <w:szCs w:val="21"/>
              </w:rPr>
            </w:pPr>
          </w:p>
          <w:p w14:paraId="774D58C9" w14:textId="06B6C12E" w:rsidR="00005906" w:rsidRPr="00005906" w:rsidRDefault="00005906" w:rsidP="00005906">
            <w:pPr>
              <w:widowControl w:val="0"/>
              <w:autoSpaceDE w:val="0"/>
              <w:autoSpaceDN w:val="0"/>
              <w:adjustRightInd w:val="0"/>
              <w:spacing w:line="276" w:lineRule="auto"/>
              <w:jc w:val="both"/>
              <w:rPr>
                <w:rFonts w:ascii="Arial" w:hAnsi="Arial" w:cs="Arial"/>
                <w:color w:val="262626"/>
                <w:sz w:val="21"/>
                <w:szCs w:val="21"/>
              </w:rPr>
            </w:pPr>
            <w:r w:rsidRPr="006C5ABD">
              <w:rPr>
                <w:rFonts w:ascii="Arial" w:hAnsi="Arial" w:cs="Arial"/>
                <w:color w:val="262626"/>
                <w:sz w:val="21"/>
                <w:szCs w:val="21"/>
              </w:rPr>
              <w:t>Whichever route is selected the course provides both structure and flexibility, fostering an understanding of major historical events in a global context. It requires students to make comparisons between similar and dissimilar solutions to common human situations, whether they be political, economic or social. It invites comparisons between, but not judgments of, different cultures, political systems and national traditions.</w:t>
            </w:r>
          </w:p>
          <w:p w14:paraId="058B5F7E" w14:textId="2DFACE13" w:rsidR="00005906" w:rsidRPr="00427213" w:rsidRDefault="00005906" w:rsidP="00005906">
            <w:pPr>
              <w:pStyle w:val="ListParagraph"/>
              <w:ind w:left="480"/>
              <w:rPr>
                <w:rFonts w:ascii="Arial" w:hAnsi="Arial" w:cs="Arial"/>
                <w:sz w:val="21"/>
                <w:szCs w:val="21"/>
              </w:rPr>
            </w:pPr>
          </w:p>
        </w:tc>
      </w:tr>
      <w:tr w:rsidR="00E64CDB" w14:paraId="0DCDB690" w14:textId="77777777" w:rsidTr="00F40917">
        <w:tc>
          <w:tcPr>
            <w:tcW w:w="9016" w:type="dxa"/>
            <w:shd w:val="clear" w:color="auto" w:fill="D9D9D9" w:themeFill="background1" w:themeFillShade="D9"/>
          </w:tcPr>
          <w:p w14:paraId="457AA9B7" w14:textId="3F50B040" w:rsidR="00E64CDB" w:rsidRPr="00F40917" w:rsidRDefault="00C82A65">
            <w:pPr>
              <w:rPr>
                <w:rFonts w:ascii="Gill Sans MT" w:hAnsi="Gill Sans MT"/>
                <w:b/>
                <w:sz w:val="28"/>
                <w:szCs w:val="28"/>
              </w:rPr>
            </w:pPr>
            <w:r>
              <w:rPr>
                <w:rFonts w:ascii="Gill Sans MT" w:hAnsi="Gill Sans MT"/>
                <w:b/>
                <w:sz w:val="28"/>
                <w:szCs w:val="28"/>
              </w:rPr>
              <w:t>Assessment</w:t>
            </w:r>
            <w:r w:rsidR="00E64CDB" w:rsidRPr="00F40917">
              <w:rPr>
                <w:rFonts w:ascii="Gill Sans MT" w:hAnsi="Gill Sans MT"/>
                <w:b/>
                <w:sz w:val="28"/>
                <w:szCs w:val="28"/>
              </w:rPr>
              <w:t xml:space="preserve"> details</w:t>
            </w:r>
          </w:p>
        </w:tc>
      </w:tr>
      <w:tr w:rsidR="00E64CDB" w14:paraId="28137B07" w14:textId="77777777" w:rsidTr="00767C85">
        <w:trPr>
          <w:trHeight w:val="730"/>
        </w:trPr>
        <w:tc>
          <w:tcPr>
            <w:tcW w:w="9016" w:type="dxa"/>
          </w:tcPr>
          <w:p w14:paraId="65B482B9" w14:textId="60C6AAA1" w:rsidR="00767C85" w:rsidRDefault="00767C85" w:rsidP="00767C85">
            <w:pPr>
              <w:pStyle w:val="ListParagraph"/>
              <w:widowControl w:val="0"/>
              <w:tabs>
                <w:tab w:val="left" w:pos="220"/>
                <w:tab w:val="left" w:pos="720"/>
              </w:tabs>
              <w:autoSpaceDE w:val="0"/>
              <w:autoSpaceDN w:val="0"/>
              <w:adjustRightInd w:val="0"/>
              <w:rPr>
                <w:rFonts w:ascii="Arial" w:hAnsi="Arial" w:cs="Arial"/>
                <w:color w:val="262626"/>
                <w:sz w:val="21"/>
                <w:szCs w:val="21"/>
                <w:lang w:val="en-US"/>
              </w:rPr>
            </w:pPr>
          </w:p>
          <w:p w14:paraId="3D91875A" w14:textId="5A765832" w:rsidR="00005906" w:rsidRDefault="00005906" w:rsidP="00005906">
            <w:pPr>
              <w:widowControl w:val="0"/>
              <w:tabs>
                <w:tab w:val="left" w:pos="220"/>
                <w:tab w:val="left" w:pos="720"/>
              </w:tabs>
              <w:autoSpaceDE w:val="0"/>
              <w:autoSpaceDN w:val="0"/>
              <w:adjustRightInd w:val="0"/>
              <w:rPr>
                <w:rFonts w:cs="Arial"/>
                <w:b/>
                <w:color w:val="000000" w:themeColor="text1"/>
                <w:sz w:val="21"/>
                <w:szCs w:val="21"/>
                <w:lang w:val="en-US"/>
              </w:rPr>
            </w:pPr>
            <w:r w:rsidRPr="00005906">
              <w:rPr>
                <w:rFonts w:cs="Arial"/>
                <w:b/>
                <w:color w:val="000000" w:themeColor="text1"/>
                <w:sz w:val="21"/>
                <w:szCs w:val="21"/>
                <w:lang w:val="en-US"/>
              </w:rPr>
              <w:t xml:space="preserve">Internal assessment (25%): </w:t>
            </w:r>
          </w:p>
          <w:p w14:paraId="7DE3EF4F" w14:textId="77777777" w:rsidR="00005906" w:rsidRPr="00005906" w:rsidRDefault="00005906" w:rsidP="00005906">
            <w:pPr>
              <w:widowControl w:val="0"/>
              <w:tabs>
                <w:tab w:val="left" w:pos="220"/>
                <w:tab w:val="left" w:pos="720"/>
              </w:tabs>
              <w:autoSpaceDE w:val="0"/>
              <w:autoSpaceDN w:val="0"/>
              <w:adjustRightInd w:val="0"/>
              <w:rPr>
                <w:rFonts w:cs="Arial"/>
                <w:b/>
                <w:color w:val="000000" w:themeColor="text1"/>
                <w:sz w:val="21"/>
                <w:szCs w:val="21"/>
                <w:lang w:val="en-US"/>
              </w:rPr>
            </w:pPr>
            <w:bookmarkStart w:id="0" w:name="_GoBack"/>
            <w:bookmarkEnd w:id="0"/>
          </w:p>
          <w:p w14:paraId="2B00177B" w14:textId="1BFAFC88" w:rsidR="00005906" w:rsidRDefault="00005906" w:rsidP="00005906">
            <w:pPr>
              <w:widowControl w:val="0"/>
              <w:tabs>
                <w:tab w:val="left" w:pos="220"/>
                <w:tab w:val="left" w:pos="720"/>
              </w:tabs>
              <w:autoSpaceDE w:val="0"/>
              <w:autoSpaceDN w:val="0"/>
              <w:adjustRightInd w:val="0"/>
              <w:rPr>
                <w:rFonts w:cs="Arial"/>
                <w:color w:val="000000" w:themeColor="text1"/>
                <w:sz w:val="21"/>
                <w:szCs w:val="21"/>
                <w:lang w:val="en-US"/>
              </w:rPr>
            </w:pPr>
            <w:r w:rsidRPr="00005906">
              <w:rPr>
                <w:rFonts w:cs="Arial"/>
                <w:color w:val="000000" w:themeColor="text1"/>
                <w:sz w:val="21"/>
                <w:szCs w:val="21"/>
                <w:lang w:val="en-US"/>
              </w:rPr>
              <w:t>The internal assessment requirements at SL and at HL for history are the same. All students complete a historical investigation into a historical topic of their choice.</w:t>
            </w:r>
          </w:p>
          <w:p w14:paraId="2C1DB809" w14:textId="77777777" w:rsidR="00005906" w:rsidRPr="00005906" w:rsidRDefault="00005906" w:rsidP="00005906">
            <w:pPr>
              <w:widowControl w:val="0"/>
              <w:tabs>
                <w:tab w:val="left" w:pos="220"/>
                <w:tab w:val="left" w:pos="720"/>
              </w:tabs>
              <w:autoSpaceDE w:val="0"/>
              <w:autoSpaceDN w:val="0"/>
              <w:adjustRightInd w:val="0"/>
              <w:rPr>
                <w:rFonts w:cs="Arial"/>
                <w:color w:val="000000" w:themeColor="text1"/>
                <w:sz w:val="21"/>
                <w:szCs w:val="21"/>
                <w:lang w:val="en-US"/>
              </w:rPr>
            </w:pPr>
          </w:p>
          <w:p w14:paraId="092250FB" w14:textId="7A0CA641" w:rsidR="00005906" w:rsidRDefault="00005906" w:rsidP="00005906">
            <w:pPr>
              <w:widowControl w:val="0"/>
              <w:tabs>
                <w:tab w:val="left" w:pos="220"/>
                <w:tab w:val="left" w:pos="720"/>
              </w:tabs>
              <w:autoSpaceDE w:val="0"/>
              <w:autoSpaceDN w:val="0"/>
              <w:adjustRightInd w:val="0"/>
              <w:rPr>
                <w:rFonts w:cs="Arial"/>
                <w:b/>
                <w:color w:val="000000" w:themeColor="text1"/>
                <w:sz w:val="21"/>
                <w:szCs w:val="21"/>
                <w:lang w:val="en-US"/>
              </w:rPr>
            </w:pPr>
            <w:r w:rsidRPr="00005906">
              <w:rPr>
                <w:rFonts w:cs="Arial"/>
                <w:b/>
                <w:color w:val="000000" w:themeColor="text1"/>
                <w:sz w:val="21"/>
                <w:szCs w:val="21"/>
                <w:lang w:val="en-US"/>
              </w:rPr>
              <w:t>External Assessment:</w:t>
            </w:r>
          </w:p>
          <w:p w14:paraId="652FF768" w14:textId="77777777" w:rsidR="00005906" w:rsidRPr="00005906" w:rsidRDefault="00005906" w:rsidP="00005906">
            <w:pPr>
              <w:widowControl w:val="0"/>
              <w:tabs>
                <w:tab w:val="left" w:pos="220"/>
                <w:tab w:val="left" w:pos="720"/>
              </w:tabs>
              <w:autoSpaceDE w:val="0"/>
              <w:autoSpaceDN w:val="0"/>
              <w:adjustRightInd w:val="0"/>
              <w:rPr>
                <w:rFonts w:cs="Arial"/>
                <w:b/>
                <w:color w:val="000000" w:themeColor="text1"/>
                <w:sz w:val="21"/>
                <w:szCs w:val="21"/>
                <w:lang w:val="en-US"/>
              </w:rPr>
            </w:pPr>
          </w:p>
          <w:p w14:paraId="7652C7C4" w14:textId="3C15843E" w:rsidR="00005906" w:rsidRPr="00005906" w:rsidRDefault="00005906" w:rsidP="00005906">
            <w:pPr>
              <w:pStyle w:val="ListParagraph"/>
              <w:numPr>
                <w:ilvl w:val="0"/>
                <w:numId w:val="30"/>
              </w:numPr>
              <w:rPr>
                <w:bCs/>
                <w:lang w:val="en-US"/>
              </w:rPr>
            </w:pPr>
            <w:r w:rsidRPr="00005906">
              <w:rPr>
                <w:lang w:val="en-US"/>
              </w:rPr>
              <w:t>Paper 1 is a source-based examination paper based on the prescribed subjects</w:t>
            </w:r>
            <w:r w:rsidRPr="00005906">
              <w:rPr>
                <w:lang w:val="en-US"/>
              </w:rPr>
              <w:t xml:space="preserve"> (</w:t>
            </w:r>
            <w:r w:rsidRPr="00005906">
              <w:rPr>
                <w:bCs/>
                <w:lang w:val="en-US"/>
              </w:rPr>
              <w:t>30% SL, 20% HL</w:t>
            </w:r>
            <w:r w:rsidRPr="00005906">
              <w:rPr>
                <w:bCs/>
                <w:lang w:val="en-US"/>
              </w:rPr>
              <w:t>)</w:t>
            </w:r>
          </w:p>
          <w:p w14:paraId="408CC937" w14:textId="4F77174B" w:rsidR="00005906" w:rsidRPr="00005906" w:rsidRDefault="00005906" w:rsidP="00005906">
            <w:pPr>
              <w:pStyle w:val="ListParagraph"/>
              <w:numPr>
                <w:ilvl w:val="0"/>
                <w:numId w:val="30"/>
              </w:numPr>
              <w:rPr>
                <w:bCs/>
                <w:lang w:val="en-US"/>
              </w:rPr>
            </w:pPr>
            <w:r w:rsidRPr="00005906">
              <w:rPr>
                <w:lang w:val="en-US"/>
              </w:rPr>
              <w:t>Paper 2 is an essay paper based on the 12 world history topics.</w:t>
            </w:r>
            <w:r w:rsidRPr="00005906">
              <w:rPr>
                <w:lang w:val="en-US"/>
              </w:rPr>
              <w:t xml:space="preserve"> (</w:t>
            </w:r>
            <w:r w:rsidRPr="00005906">
              <w:rPr>
                <w:bCs/>
                <w:lang w:val="en-US"/>
              </w:rPr>
              <w:t>45% SL, 25% HL</w:t>
            </w:r>
            <w:r w:rsidRPr="00005906">
              <w:rPr>
                <w:bCs/>
                <w:lang w:val="en-US"/>
              </w:rPr>
              <w:t>)</w:t>
            </w:r>
          </w:p>
          <w:p w14:paraId="68E158AB" w14:textId="2696C61C" w:rsidR="00005906" w:rsidRPr="00005906" w:rsidRDefault="00005906" w:rsidP="00005906">
            <w:pPr>
              <w:pStyle w:val="ListParagraph"/>
              <w:numPr>
                <w:ilvl w:val="0"/>
                <w:numId w:val="30"/>
              </w:numPr>
              <w:rPr>
                <w:rFonts w:cs="Arial"/>
                <w:color w:val="262626"/>
                <w:lang w:val="en-US"/>
              </w:rPr>
            </w:pPr>
            <w:r w:rsidRPr="00005906">
              <w:rPr>
                <w:lang w:val="en-US"/>
              </w:rPr>
              <w:t xml:space="preserve">The paper 3 </w:t>
            </w:r>
            <w:r w:rsidRPr="00005906">
              <w:rPr>
                <w:lang w:val="en-US"/>
              </w:rPr>
              <w:t xml:space="preserve"> (HL only 35%) </w:t>
            </w:r>
            <w:r w:rsidRPr="00005906">
              <w:rPr>
                <w:lang w:val="en-US"/>
              </w:rPr>
              <w:t>examination paper for each regional option will consist of 36 questio</w:t>
            </w:r>
            <w:r w:rsidRPr="00005906">
              <w:rPr>
                <w:lang w:val="en-US"/>
              </w:rPr>
              <w:t xml:space="preserve">ns, </w:t>
            </w:r>
            <w:r w:rsidRPr="00005906">
              <w:rPr>
                <w:lang w:val="en-US"/>
              </w:rPr>
              <w:t>consisting of two essay questions on each of the 18 sections specified for the regional option.</w:t>
            </w:r>
          </w:p>
        </w:tc>
      </w:tr>
    </w:tbl>
    <w:p w14:paraId="0E638C65" w14:textId="77777777" w:rsidR="003D2952" w:rsidRDefault="003D2952"/>
    <w:sectPr w:rsidR="003D2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3A4987"/>
    <w:multiLevelType w:val="hybridMultilevel"/>
    <w:tmpl w:val="2E5AA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3307B90"/>
    <w:multiLevelType w:val="hybridMultilevel"/>
    <w:tmpl w:val="1128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251BB9"/>
    <w:multiLevelType w:val="hybridMultilevel"/>
    <w:tmpl w:val="86AC087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1">
    <w:nsid w:val="099D0BBC"/>
    <w:multiLevelType w:val="hybridMultilevel"/>
    <w:tmpl w:val="D682BF0E"/>
    <w:lvl w:ilvl="0" w:tplc="23CCBB1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851BD"/>
    <w:multiLevelType w:val="hybridMultilevel"/>
    <w:tmpl w:val="14F8D2EC"/>
    <w:lvl w:ilvl="0" w:tplc="D2A23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6416695"/>
    <w:multiLevelType w:val="hybridMultilevel"/>
    <w:tmpl w:val="597A3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7E4512"/>
    <w:multiLevelType w:val="hybridMultilevel"/>
    <w:tmpl w:val="179E5D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B034D2"/>
    <w:multiLevelType w:val="hybridMultilevel"/>
    <w:tmpl w:val="27CC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66EED"/>
    <w:multiLevelType w:val="hybridMultilevel"/>
    <w:tmpl w:val="3CFAC62E"/>
    <w:lvl w:ilvl="0" w:tplc="23CCBB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391936A7"/>
    <w:multiLevelType w:val="hybridMultilevel"/>
    <w:tmpl w:val="2D5C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254F5"/>
    <w:multiLevelType w:val="hybridMultilevel"/>
    <w:tmpl w:val="E29E6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5128A3"/>
    <w:multiLevelType w:val="hybridMultilevel"/>
    <w:tmpl w:val="3EBAD5D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0">
    <w:nsid w:val="51EC0927"/>
    <w:multiLevelType w:val="hybridMultilevel"/>
    <w:tmpl w:val="B74EB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D139FB"/>
    <w:multiLevelType w:val="hybridMultilevel"/>
    <w:tmpl w:val="C24217E0"/>
    <w:lvl w:ilvl="0" w:tplc="23CCBB12">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8DA7130"/>
    <w:multiLevelType w:val="hybridMultilevel"/>
    <w:tmpl w:val="223C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A92877"/>
    <w:multiLevelType w:val="hybridMultilevel"/>
    <w:tmpl w:val="4CA241A2"/>
    <w:lvl w:ilvl="0" w:tplc="04090017">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3976641"/>
    <w:multiLevelType w:val="hybridMultilevel"/>
    <w:tmpl w:val="128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6244A5"/>
    <w:multiLevelType w:val="hybridMultilevel"/>
    <w:tmpl w:val="62E0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C4BFA"/>
    <w:multiLevelType w:val="hybridMultilevel"/>
    <w:tmpl w:val="0EF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F3233F"/>
    <w:multiLevelType w:val="hybridMultilevel"/>
    <w:tmpl w:val="C1A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F318D"/>
    <w:multiLevelType w:val="hybridMultilevel"/>
    <w:tmpl w:val="FC50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06F91"/>
    <w:multiLevelType w:val="hybridMultilevel"/>
    <w:tmpl w:val="9A4C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7"/>
  </w:num>
  <w:num w:numId="4">
    <w:abstractNumId w:val="22"/>
  </w:num>
  <w:num w:numId="5">
    <w:abstractNumId w:val="25"/>
  </w:num>
  <w:num w:numId="6">
    <w:abstractNumId w:val="13"/>
  </w:num>
  <w:num w:numId="7">
    <w:abstractNumId w:val="29"/>
  </w:num>
  <w:num w:numId="8">
    <w:abstractNumId w:val="28"/>
  </w:num>
  <w:num w:numId="9">
    <w:abstractNumId w:val="18"/>
  </w:num>
  <w:num w:numId="10">
    <w:abstractNumId w:val="0"/>
  </w:num>
  <w:num w:numId="11">
    <w:abstractNumId w:val="26"/>
  </w:num>
  <w:num w:numId="12">
    <w:abstractNumId w:val="27"/>
  </w:num>
  <w:num w:numId="13">
    <w:abstractNumId w:val="19"/>
  </w:num>
  <w:num w:numId="14">
    <w:abstractNumId w:val="10"/>
  </w:num>
  <w:num w:numId="15">
    <w:abstractNumId w:val="9"/>
  </w:num>
  <w:num w:numId="16">
    <w:abstractNumId w:val="16"/>
  </w:num>
  <w:num w:numId="17">
    <w:abstractNumId w:val="24"/>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11"/>
  </w:num>
  <w:num w:numId="26">
    <w:abstractNumId w:val="21"/>
  </w:num>
  <w:num w:numId="27">
    <w:abstractNumId w:val="23"/>
  </w:num>
  <w:num w:numId="28">
    <w:abstractNumId w:val="14"/>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DB"/>
    <w:rsid w:val="00005906"/>
    <w:rsid w:val="001025D3"/>
    <w:rsid w:val="001329DD"/>
    <w:rsid w:val="00134640"/>
    <w:rsid w:val="002E2FA2"/>
    <w:rsid w:val="003A79EB"/>
    <w:rsid w:val="003D2952"/>
    <w:rsid w:val="00427213"/>
    <w:rsid w:val="006E6798"/>
    <w:rsid w:val="00767C85"/>
    <w:rsid w:val="008B589E"/>
    <w:rsid w:val="009B6B8B"/>
    <w:rsid w:val="00A0709F"/>
    <w:rsid w:val="00BB29EB"/>
    <w:rsid w:val="00C82A65"/>
    <w:rsid w:val="00DA623B"/>
    <w:rsid w:val="00E6179D"/>
    <w:rsid w:val="00E64CDB"/>
    <w:rsid w:val="00EE2440"/>
    <w:rsid w:val="00F10637"/>
    <w:rsid w:val="00F4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BD6D"/>
  <w15:chartTrackingRefBased/>
  <w15:docId w15:val="{C2F791C6-61F9-4D1B-9AAB-D650CD1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9B6B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B8B"/>
    <w:pPr>
      <w:ind w:left="720"/>
      <w:contextualSpacing/>
    </w:pPr>
  </w:style>
  <w:style w:type="character" w:customStyle="1" w:styleId="Heading3Char">
    <w:name w:val="Heading 3 Char"/>
    <w:basedOn w:val="DefaultParagraphFont"/>
    <w:link w:val="Heading3"/>
    <w:uiPriority w:val="9"/>
    <w:rsid w:val="009B6B8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6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6B8B"/>
  </w:style>
  <w:style w:type="character" w:styleId="Strong">
    <w:name w:val="Strong"/>
    <w:basedOn w:val="DefaultParagraphFont"/>
    <w:uiPriority w:val="22"/>
    <w:qFormat/>
    <w:rsid w:val="009B6B8B"/>
    <w:rPr>
      <w:b/>
      <w:bCs/>
    </w:rPr>
  </w:style>
  <w:style w:type="paragraph" w:styleId="NoSpacing">
    <w:name w:val="No Spacing"/>
    <w:uiPriority w:val="1"/>
    <w:qFormat/>
    <w:rsid w:val="006E679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6E6F43EA-C978-4DE4-8F03-193F09DC6E29@H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Samson</dc:creator>
  <cp:keywords/>
  <dc:description/>
  <cp:lastModifiedBy>Michael Lawless</cp:lastModifiedBy>
  <cp:revision>2</cp:revision>
  <dcterms:created xsi:type="dcterms:W3CDTF">2016-11-14T17:23:00Z</dcterms:created>
  <dcterms:modified xsi:type="dcterms:W3CDTF">2016-11-14T17:23:00Z</dcterms:modified>
</cp:coreProperties>
</file>