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46A8DF0">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7E2453CC"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F10637">
              <w:rPr>
                <w:rFonts w:ascii="Gill Sans MT" w:eastAsia="Times New Roman" w:hAnsi="Gill Sans MT"/>
                <w:noProof/>
                <w:sz w:val="40"/>
                <w:szCs w:val="40"/>
                <w:lang w:eastAsia="en-GB"/>
              </w:rPr>
              <w:t>Geography (HL/SL)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C82A65">
        <w:trPr>
          <w:trHeight w:val="40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2AF1DD57" w14:textId="77777777" w:rsidR="00EE2440" w:rsidRDefault="00EE2440" w:rsidP="00EE2440">
            <w:pPr>
              <w:rPr>
                <w:sz w:val="20"/>
                <w:szCs w:val="20"/>
                <w:lang w:val="en-US"/>
              </w:rPr>
            </w:pPr>
            <w:r w:rsidRPr="00EE2440">
              <w:rPr>
                <w:sz w:val="20"/>
                <w:szCs w:val="20"/>
                <w:lang w:val="en-US"/>
              </w:rPr>
              <w:t>The Diploma Programme geography course integrates both physical and human geography, and ensures that students acquire elements of both scientific and socio-economic methodologies. </w:t>
            </w:r>
          </w:p>
          <w:p w14:paraId="16660E4F" w14:textId="77777777" w:rsidR="00EE2440" w:rsidRPr="00EE2440" w:rsidRDefault="00EE2440" w:rsidP="00EE2440">
            <w:pPr>
              <w:rPr>
                <w:sz w:val="20"/>
                <w:szCs w:val="20"/>
                <w:lang w:val="en-US"/>
              </w:rPr>
            </w:pPr>
          </w:p>
          <w:p w14:paraId="1BC518BE" w14:textId="77777777" w:rsidR="00EE2440" w:rsidRDefault="00EE2440" w:rsidP="00EE2440">
            <w:pPr>
              <w:rPr>
                <w:sz w:val="20"/>
                <w:szCs w:val="20"/>
                <w:lang w:val="en-US"/>
              </w:rPr>
            </w:pPr>
            <w:r w:rsidRPr="00EE2440">
              <w:rPr>
                <w:sz w:val="20"/>
                <w:szCs w:val="20"/>
                <w:lang w:val="en-US"/>
              </w:rPr>
              <w:t>Geography takes advantage of its position to examine relevant concepts and ideas from a wide variety of disciplines. This helps students develop an appreciation of, and a respect for, alternative approaches, viewpoints and ideas.</w:t>
            </w:r>
            <w:bookmarkStart w:id="0" w:name="_GoBack"/>
            <w:bookmarkEnd w:id="0"/>
          </w:p>
          <w:p w14:paraId="643FB11B" w14:textId="77777777" w:rsidR="00EE2440" w:rsidRPr="00EE2440" w:rsidRDefault="00EE2440" w:rsidP="00EE2440">
            <w:pPr>
              <w:rPr>
                <w:sz w:val="20"/>
                <w:szCs w:val="20"/>
                <w:lang w:val="en-US"/>
              </w:rPr>
            </w:pPr>
          </w:p>
          <w:p w14:paraId="7352E519" w14:textId="77777777" w:rsidR="00EE2440" w:rsidRPr="00EE2440" w:rsidRDefault="00EE2440" w:rsidP="00EE2440">
            <w:pPr>
              <w:rPr>
                <w:sz w:val="20"/>
                <w:szCs w:val="20"/>
                <w:lang w:val="en-US"/>
              </w:rPr>
            </w:pPr>
            <w:r w:rsidRPr="00EE2440">
              <w:rPr>
                <w:sz w:val="20"/>
                <w:szCs w:val="20"/>
                <w:lang w:val="en-US"/>
              </w:rPr>
              <w:t>The geography course embodies global and international awareness in several distinct ways. It examines key global issues, such as poverty, sustainability and climate change. It considers examples and detailed case studies at a variety of scales, from local to regional, national and international.</w:t>
            </w:r>
          </w:p>
          <w:p w14:paraId="4E2BD323" w14:textId="77777777" w:rsidR="00EE2440" w:rsidRPr="00EE2440" w:rsidRDefault="00EE2440" w:rsidP="00EE2440">
            <w:pPr>
              <w:rPr>
                <w:sz w:val="20"/>
                <w:szCs w:val="20"/>
                <w:lang w:val="en-US"/>
              </w:rPr>
            </w:pPr>
            <w:r w:rsidRPr="00EE2440">
              <w:rPr>
                <w:sz w:val="20"/>
                <w:szCs w:val="20"/>
                <w:lang w:val="en-US"/>
              </w:rPr>
              <w:t>The aims of the geography syllabus at SL and HL are to enable students to:</w:t>
            </w:r>
          </w:p>
          <w:p w14:paraId="024FC4A7" w14:textId="77777777" w:rsidR="00EE2440" w:rsidRPr="00EE2440" w:rsidRDefault="00EE2440" w:rsidP="00EE2440">
            <w:pPr>
              <w:pStyle w:val="ListParagraph"/>
              <w:numPr>
                <w:ilvl w:val="0"/>
                <w:numId w:val="12"/>
              </w:numPr>
              <w:rPr>
                <w:sz w:val="20"/>
                <w:szCs w:val="20"/>
                <w:lang w:val="en-US"/>
              </w:rPr>
            </w:pPr>
            <w:r w:rsidRPr="00EE2440">
              <w:rPr>
                <w:sz w:val="20"/>
                <w:szCs w:val="20"/>
                <w:lang w:val="en-US"/>
              </w:rPr>
              <w:t>develop an understanding of the interrelationships between people, places, spaces and the environment</w:t>
            </w:r>
          </w:p>
          <w:p w14:paraId="4937F377" w14:textId="77777777" w:rsidR="00EE2440" w:rsidRPr="00EE2440" w:rsidRDefault="00EE2440" w:rsidP="00EE2440">
            <w:pPr>
              <w:pStyle w:val="ListParagraph"/>
              <w:numPr>
                <w:ilvl w:val="0"/>
                <w:numId w:val="12"/>
              </w:numPr>
              <w:rPr>
                <w:sz w:val="20"/>
                <w:szCs w:val="20"/>
                <w:lang w:val="en-US"/>
              </w:rPr>
            </w:pPr>
            <w:r w:rsidRPr="00EE2440">
              <w:rPr>
                <w:sz w:val="20"/>
                <w:szCs w:val="20"/>
                <w:lang w:val="en-US"/>
              </w:rPr>
              <w:t>develop a concern for human welfare and the quality of the environment, and an understanding of the need for planning and sustainable management</w:t>
            </w:r>
          </w:p>
          <w:p w14:paraId="0283E9F0" w14:textId="77777777" w:rsidR="00EE2440" w:rsidRDefault="00EE2440" w:rsidP="00EE2440">
            <w:pPr>
              <w:pStyle w:val="ListParagraph"/>
              <w:numPr>
                <w:ilvl w:val="0"/>
                <w:numId w:val="12"/>
              </w:numPr>
              <w:rPr>
                <w:sz w:val="20"/>
                <w:szCs w:val="20"/>
                <w:lang w:val="en-US"/>
              </w:rPr>
            </w:pPr>
            <w:r w:rsidRPr="00EE2440">
              <w:rPr>
                <w:sz w:val="20"/>
                <w:szCs w:val="20"/>
                <w:lang w:val="en-US"/>
              </w:rPr>
              <w:t xml:space="preserve">appreciate the relevance of geography in </w:t>
            </w:r>
            <w:proofErr w:type="spellStart"/>
            <w:r w:rsidRPr="00EE2440">
              <w:rPr>
                <w:sz w:val="20"/>
                <w:szCs w:val="20"/>
                <w:lang w:val="en-US"/>
              </w:rPr>
              <w:t>analysing</w:t>
            </w:r>
            <w:proofErr w:type="spellEnd"/>
            <w:r w:rsidRPr="00EE2440">
              <w:rPr>
                <w:sz w:val="20"/>
                <w:szCs w:val="20"/>
                <w:lang w:val="en-US"/>
              </w:rPr>
              <w:t xml:space="preserve"> contemporary issues and challenges, and develop a global perspective of diversity and change.</w:t>
            </w:r>
          </w:p>
          <w:p w14:paraId="7A7A52CA" w14:textId="77777777" w:rsidR="00EE2440" w:rsidRPr="00EE2440" w:rsidRDefault="00EE2440" w:rsidP="00EE2440">
            <w:pPr>
              <w:pStyle w:val="ListParagraph"/>
              <w:numPr>
                <w:ilvl w:val="0"/>
                <w:numId w:val="12"/>
              </w:numPr>
              <w:rPr>
                <w:sz w:val="20"/>
                <w:szCs w:val="20"/>
                <w:lang w:val="en-US"/>
              </w:rPr>
            </w:pPr>
          </w:p>
          <w:p w14:paraId="41C7047F" w14:textId="77777777" w:rsidR="001025D3" w:rsidRDefault="00EE2440" w:rsidP="00EE2440">
            <w:pPr>
              <w:rPr>
                <w:sz w:val="20"/>
                <w:szCs w:val="20"/>
                <w:lang w:val="en-US"/>
              </w:rPr>
            </w:pPr>
            <w:r w:rsidRPr="00EE2440">
              <w:rPr>
                <w:sz w:val="20"/>
                <w:szCs w:val="20"/>
                <w:lang w:val="en-US"/>
              </w:rPr>
              <w:t>Throughout the course, there is considerable flexibility in the choice of examples and case studies to ensure that Diploma Programme geography is a highly appropriate way to meet the needs of all students, regardless of their precise geographical location.</w:t>
            </w:r>
          </w:p>
          <w:p w14:paraId="62422E5C" w14:textId="19B24E2B" w:rsidR="00EE2440" w:rsidRPr="00C82A65" w:rsidRDefault="00EE2440" w:rsidP="00EE2440">
            <w:pPr>
              <w:rPr>
                <w:sz w:val="20"/>
                <w:szCs w:val="20"/>
              </w:rPr>
            </w:pP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17300E92" w14:textId="6117B253" w:rsidR="00C82A65" w:rsidRPr="00EE2440" w:rsidRDefault="00C82A65" w:rsidP="00C82A65">
            <w:pPr>
              <w:widowControl w:val="0"/>
              <w:autoSpaceDE w:val="0"/>
              <w:autoSpaceDN w:val="0"/>
              <w:adjustRightInd w:val="0"/>
              <w:rPr>
                <w:rFonts w:ascii="Arial" w:hAnsi="Arial" w:cs="Arial"/>
                <w:color w:val="000000" w:themeColor="text1"/>
                <w:sz w:val="20"/>
                <w:szCs w:val="20"/>
                <w:lang w:val="en-US"/>
              </w:rPr>
            </w:pPr>
            <w:r w:rsidRPr="00EE2440">
              <w:rPr>
                <w:rFonts w:ascii="Arial" w:hAnsi="Arial" w:cs="Arial"/>
                <w:color w:val="000000" w:themeColor="text1"/>
                <w:sz w:val="20"/>
                <w:szCs w:val="20"/>
                <w:lang w:val="en-US"/>
              </w:rPr>
              <w:t>Compulsory topics:</w:t>
            </w:r>
          </w:p>
          <w:p w14:paraId="29ABBA7A" w14:textId="190880C6" w:rsidR="00C82A65" w:rsidRPr="00EE2440" w:rsidRDefault="00C82A65" w:rsidP="00EE2440">
            <w:pPr>
              <w:pStyle w:val="ListParagraph"/>
              <w:widowControl w:val="0"/>
              <w:numPr>
                <w:ilvl w:val="0"/>
                <w:numId w:val="9"/>
              </w:numPr>
              <w:autoSpaceDE w:val="0"/>
              <w:autoSpaceDN w:val="0"/>
              <w:adjustRightInd w:val="0"/>
              <w:rPr>
                <w:rFonts w:ascii="Arial" w:hAnsi="Arial" w:cs="Arial"/>
                <w:color w:val="000000" w:themeColor="text1"/>
                <w:sz w:val="20"/>
                <w:szCs w:val="20"/>
                <w:lang w:val="en-US"/>
              </w:rPr>
            </w:pPr>
            <w:r w:rsidRPr="00EE2440">
              <w:rPr>
                <w:rFonts w:ascii="Arial" w:hAnsi="Arial" w:cs="Arial"/>
                <w:color w:val="000000" w:themeColor="text1"/>
                <w:sz w:val="20"/>
                <w:szCs w:val="20"/>
                <w:lang w:val="en-US"/>
              </w:rPr>
              <w:t>Population in Transition</w:t>
            </w:r>
          </w:p>
          <w:p w14:paraId="3C1DA014" w14:textId="263193FD" w:rsidR="00C82A65" w:rsidRPr="00EE2440" w:rsidRDefault="00C82A65" w:rsidP="00EE2440">
            <w:pPr>
              <w:pStyle w:val="ListParagraph"/>
              <w:widowControl w:val="0"/>
              <w:numPr>
                <w:ilvl w:val="0"/>
                <w:numId w:val="9"/>
              </w:numPr>
              <w:autoSpaceDE w:val="0"/>
              <w:autoSpaceDN w:val="0"/>
              <w:adjustRightInd w:val="0"/>
              <w:rPr>
                <w:rFonts w:ascii="Arial" w:hAnsi="Arial" w:cs="Arial"/>
                <w:color w:val="000000" w:themeColor="text1"/>
                <w:sz w:val="20"/>
                <w:szCs w:val="20"/>
                <w:lang w:val="en-US"/>
              </w:rPr>
            </w:pPr>
            <w:r w:rsidRPr="00EE2440">
              <w:rPr>
                <w:rFonts w:ascii="Arial" w:hAnsi="Arial" w:cs="Arial"/>
                <w:color w:val="000000" w:themeColor="text1"/>
                <w:sz w:val="20"/>
                <w:szCs w:val="20"/>
                <w:lang w:val="en-US"/>
              </w:rPr>
              <w:t>Disparities in Wealth and Development</w:t>
            </w:r>
          </w:p>
          <w:p w14:paraId="5792FD39" w14:textId="21C0B1CC" w:rsidR="00C82A65" w:rsidRPr="00EE2440" w:rsidRDefault="00C82A65" w:rsidP="00EE2440">
            <w:pPr>
              <w:pStyle w:val="ListParagraph"/>
              <w:widowControl w:val="0"/>
              <w:numPr>
                <w:ilvl w:val="0"/>
                <w:numId w:val="9"/>
              </w:numPr>
              <w:autoSpaceDE w:val="0"/>
              <w:autoSpaceDN w:val="0"/>
              <w:adjustRightInd w:val="0"/>
              <w:rPr>
                <w:rFonts w:ascii="Arial" w:hAnsi="Arial" w:cs="Arial"/>
                <w:color w:val="000000" w:themeColor="text1"/>
                <w:sz w:val="20"/>
                <w:szCs w:val="20"/>
                <w:lang w:val="en-US"/>
              </w:rPr>
            </w:pPr>
            <w:hyperlink r:id="rId7" w:history="1">
              <w:r w:rsidRPr="00EE2440">
                <w:rPr>
                  <w:rFonts w:ascii="Arial" w:hAnsi="Arial" w:cs="Arial"/>
                  <w:color w:val="000000" w:themeColor="text1"/>
                  <w:sz w:val="20"/>
                  <w:szCs w:val="20"/>
                  <w:lang w:val="en-US"/>
                </w:rPr>
                <w:t>Patterns in Environmental Quality and Sustainability</w:t>
              </w:r>
            </w:hyperlink>
          </w:p>
          <w:p w14:paraId="3D096B5E" w14:textId="1AFBE612" w:rsidR="00C82A65" w:rsidRPr="00EE2440" w:rsidRDefault="00C82A65" w:rsidP="00EE2440">
            <w:pPr>
              <w:pStyle w:val="ListParagraph"/>
              <w:widowControl w:val="0"/>
              <w:numPr>
                <w:ilvl w:val="0"/>
                <w:numId w:val="9"/>
              </w:numPr>
              <w:autoSpaceDE w:val="0"/>
              <w:autoSpaceDN w:val="0"/>
              <w:adjustRightInd w:val="0"/>
              <w:rPr>
                <w:rFonts w:ascii="Arial" w:hAnsi="Arial" w:cs="Arial"/>
                <w:color w:val="000000" w:themeColor="text1"/>
                <w:sz w:val="20"/>
                <w:szCs w:val="20"/>
                <w:lang w:val="en-US"/>
              </w:rPr>
            </w:pPr>
            <w:hyperlink r:id="rId8" w:history="1">
              <w:r w:rsidRPr="00EE2440">
                <w:rPr>
                  <w:rFonts w:ascii="Arial" w:hAnsi="Arial" w:cs="Arial"/>
                  <w:color w:val="000000" w:themeColor="text1"/>
                  <w:sz w:val="20"/>
                  <w:szCs w:val="20"/>
                  <w:lang w:val="en-US"/>
                </w:rPr>
                <w:t>Patter</w:t>
              </w:r>
              <w:r w:rsidRPr="00EE2440">
                <w:rPr>
                  <w:rFonts w:ascii="Arial" w:hAnsi="Arial" w:cs="Arial"/>
                  <w:color w:val="000000" w:themeColor="text1"/>
                  <w:sz w:val="20"/>
                  <w:szCs w:val="20"/>
                  <w:lang w:val="en-US"/>
                </w:rPr>
                <w:t>n</w:t>
              </w:r>
              <w:r w:rsidRPr="00EE2440">
                <w:rPr>
                  <w:rFonts w:ascii="Arial" w:hAnsi="Arial" w:cs="Arial"/>
                  <w:color w:val="000000" w:themeColor="text1"/>
                  <w:sz w:val="20"/>
                  <w:szCs w:val="20"/>
                  <w:lang w:val="en-US"/>
                </w:rPr>
                <w:t>s in Resource Consumption</w:t>
              </w:r>
            </w:hyperlink>
          </w:p>
          <w:p w14:paraId="2C1A17B8" w14:textId="77777777" w:rsidR="001025D3" w:rsidRPr="00EE2440" w:rsidRDefault="001025D3" w:rsidP="001025D3">
            <w:pPr>
              <w:rPr>
                <w:rFonts w:ascii="Arial" w:hAnsi="Arial" w:cs="Arial"/>
                <w:color w:val="000000" w:themeColor="text1"/>
                <w:sz w:val="20"/>
                <w:szCs w:val="20"/>
              </w:rPr>
            </w:pPr>
          </w:p>
          <w:p w14:paraId="61B49302" w14:textId="6520F989" w:rsidR="00C82A65" w:rsidRPr="00EE2440" w:rsidRDefault="00C82A65" w:rsidP="00C82A65">
            <w:pPr>
              <w:widowControl w:val="0"/>
              <w:autoSpaceDE w:val="0"/>
              <w:autoSpaceDN w:val="0"/>
              <w:adjustRightInd w:val="0"/>
              <w:rPr>
                <w:rFonts w:ascii="Arial" w:hAnsi="Arial" w:cs="Arial"/>
                <w:color w:val="000000" w:themeColor="text1"/>
                <w:sz w:val="20"/>
                <w:szCs w:val="20"/>
                <w:lang w:val="en-US"/>
              </w:rPr>
            </w:pPr>
            <w:r w:rsidRPr="00EE2440">
              <w:rPr>
                <w:rFonts w:ascii="Arial" w:hAnsi="Arial" w:cs="Arial"/>
                <w:color w:val="000000" w:themeColor="text1"/>
                <w:sz w:val="20"/>
                <w:szCs w:val="20"/>
                <w:lang w:val="en-US"/>
              </w:rPr>
              <w:t>HL students study three options</w:t>
            </w:r>
            <w:r w:rsidRPr="00EE2440">
              <w:rPr>
                <w:rFonts w:ascii="Arial" w:hAnsi="Arial" w:cs="Arial"/>
                <w:color w:val="000000" w:themeColor="text1"/>
                <w:sz w:val="20"/>
                <w:szCs w:val="20"/>
                <w:lang w:val="en-US"/>
              </w:rPr>
              <w:t>. SL students study two options from the following topics:</w:t>
            </w:r>
          </w:p>
          <w:p w14:paraId="6778A34B" w14:textId="1044C3D9"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9" w:history="1">
              <w:r w:rsidRPr="00EE2440">
                <w:rPr>
                  <w:rFonts w:ascii="Arial" w:hAnsi="Arial" w:cs="Arial"/>
                  <w:color w:val="000000" w:themeColor="text1"/>
                  <w:sz w:val="20"/>
                  <w:szCs w:val="20"/>
                  <w:lang w:val="en-US"/>
                </w:rPr>
                <w:t>Freshwater - Issues and Conflicts</w:t>
              </w:r>
            </w:hyperlink>
          </w:p>
          <w:p w14:paraId="1A1D5FD9" w14:textId="09F0A1BA"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0" w:history="1">
              <w:r w:rsidRPr="00EE2440">
                <w:rPr>
                  <w:rFonts w:ascii="Arial" w:hAnsi="Arial" w:cs="Arial"/>
                  <w:color w:val="000000" w:themeColor="text1"/>
                  <w:sz w:val="20"/>
                  <w:szCs w:val="20"/>
                  <w:lang w:val="en-US"/>
                </w:rPr>
                <w:t>Oceans and their Coastal Margins</w:t>
              </w:r>
            </w:hyperlink>
          </w:p>
          <w:p w14:paraId="73F2B503" w14:textId="4A577E35"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1" w:history="1">
              <w:r w:rsidRPr="00EE2440">
                <w:rPr>
                  <w:rFonts w:ascii="Arial" w:hAnsi="Arial" w:cs="Arial"/>
                  <w:color w:val="000000" w:themeColor="text1"/>
                  <w:sz w:val="20"/>
                  <w:szCs w:val="20"/>
                  <w:lang w:val="en-US"/>
                </w:rPr>
                <w:t>Extreme Environments</w:t>
              </w:r>
            </w:hyperlink>
          </w:p>
          <w:p w14:paraId="4117223C" w14:textId="36DE871D"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2" w:history="1">
              <w:r w:rsidRPr="00EE2440">
                <w:rPr>
                  <w:rFonts w:ascii="Arial" w:hAnsi="Arial" w:cs="Arial"/>
                  <w:color w:val="000000" w:themeColor="text1"/>
                  <w:sz w:val="20"/>
                  <w:szCs w:val="20"/>
                  <w:lang w:val="en-US"/>
                </w:rPr>
                <w:t>Hazards and Disasters - Risk Assessment and Response</w:t>
              </w:r>
            </w:hyperlink>
          </w:p>
          <w:p w14:paraId="2F89323D" w14:textId="23DAEA58"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3" w:history="1">
              <w:r w:rsidRPr="00EE2440">
                <w:rPr>
                  <w:rFonts w:ascii="Arial" w:hAnsi="Arial" w:cs="Arial"/>
                  <w:color w:val="000000" w:themeColor="text1"/>
                  <w:sz w:val="20"/>
                  <w:szCs w:val="20"/>
                  <w:lang w:val="en-US"/>
                </w:rPr>
                <w:t>Leisure, Sport and Tourism</w:t>
              </w:r>
            </w:hyperlink>
          </w:p>
          <w:p w14:paraId="3D590ADA" w14:textId="66EFC03B"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4" w:history="1">
              <w:r w:rsidRPr="00EE2440">
                <w:rPr>
                  <w:rFonts w:ascii="Arial" w:hAnsi="Arial" w:cs="Arial"/>
                  <w:color w:val="000000" w:themeColor="text1"/>
                  <w:sz w:val="20"/>
                  <w:szCs w:val="20"/>
                  <w:lang w:val="en-US"/>
                </w:rPr>
                <w:t>The Geography of Food and Health</w:t>
              </w:r>
            </w:hyperlink>
          </w:p>
          <w:p w14:paraId="1C022BFB" w14:textId="4CFA4558" w:rsidR="00C82A65" w:rsidRPr="00EE2440" w:rsidRDefault="00C82A65" w:rsidP="00C82A65">
            <w:pPr>
              <w:pStyle w:val="ListParagraph"/>
              <w:widowControl w:val="0"/>
              <w:numPr>
                <w:ilvl w:val="0"/>
                <w:numId w:val="4"/>
              </w:numPr>
              <w:autoSpaceDE w:val="0"/>
              <w:autoSpaceDN w:val="0"/>
              <w:adjustRightInd w:val="0"/>
              <w:rPr>
                <w:rFonts w:ascii="Arial" w:hAnsi="Arial" w:cs="Arial"/>
                <w:color w:val="000000" w:themeColor="text1"/>
                <w:sz w:val="20"/>
                <w:szCs w:val="20"/>
                <w:lang w:val="en-US"/>
              </w:rPr>
            </w:pPr>
            <w:hyperlink r:id="rId15" w:history="1">
              <w:r w:rsidRPr="00EE2440">
                <w:rPr>
                  <w:rFonts w:ascii="Arial" w:hAnsi="Arial" w:cs="Arial"/>
                  <w:color w:val="000000" w:themeColor="text1"/>
                  <w:sz w:val="20"/>
                  <w:szCs w:val="20"/>
                  <w:lang w:val="en-US"/>
                </w:rPr>
                <w:t>Urban Environment</w:t>
              </w:r>
            </w:hyperlink>
          </w:p>
          <w:p w14:paraId="3F97F9AD" w14:textId="77777777" w:rsidR="00C82A65" w:rsidRPr="00EE2440" w:rsidRDefault="00C82A65" w:rsidP="00C82A65">
            <w:pPr>
              <w:widowControl w:val="0"/>
              <w:autoSpaceDE w:val="0"/>
              <w:autoSpaceDN w:val="0"/>
              <w:adjustRightInd w:val="0"/>
              <w:rPr>
                <w:rFonts w:ascii="Arial" w:hAnsi="Arial" w:cs="Arial"/>
                <w:color w:val="000000" w:themeColor="text1"/>
                <w:sz w:val="20"/>
                <w:szCs w:val="20"/>
                <w:lang w:val="en-US"/>
              </w:rPr>
            </w:pPr>
          </w:p>
          <w:p w14:paraId="104345DF" w14:textId="445233BF" w:rsidR="00C82A65" w:rsidRPr="00EE2440" w:rsidRDefault="00C82A65" w:rsidP="00C82A65">
            <w:pPr>
              <w:widowControl w:val="0"/>
              <w:autoSpaceDE w:val="0"/>
              <w:autoSpaceDN w:val="0"/>
              <w:adjustRightInd w:val="0"/>
              <w:rPr>
                <w:rFonts w:ascii="Arial" w:hAnsi="Arial" w:cs="Arial"/>
                <w:color w:val="000000" w:themeColor="text1"/>
                <w:sz w:val="20"/>
                <w:szCs w:val="20"/>
                <w:lang w:val="en-US"/>
              </w:rPr>
            </w:pPr>
            <w:r w:rsidRPr="00EE2440">
              <w:rPr>
                <w:rFonts w:ascii="Arial" w:hAnsi="Arial" w:cs="Arial"/>
                <w:color w:val="000000" w:themeColor="text1"/>
                <w:sz w:val="20"/>
                <w:szCs w:val="20"/>
                <w:lang w:val="en-US"/>
              </w:rPr>
              <w:t>There are seven compulsory topics in the HL extension:</w:t>
            </w:r>
          </w:p>
          <w:p w14:paraId="7FDC3C26" w14:textId="6493D439"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16" w:history="1">
              <w:r w:rsidRPr="00EE2440">
                <w:rPr>
                  <w:rFonts w:ascii="Arial" w:hAnsi="Arial" w:cs="Arial"/>
                  <w:color w:val="000000" w:themeColor="text1"/>
                  <w:sz w:val="20"/>
                  <w:szCs w:val="20"/>
                  <w:lang w:val="en-US"/>
                </w:rPr>
                <w:t>Measuring Global Interactions</w:t>
              </w:r>
            </w:hyperlink>
          </w:p>
          <w:p w14:paraId="3EFC6A3A" w14:textId="4FB4F216"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17" w:history="1">
              <w:r w:rsidRPr="00EE2440">
                <w:rPr>
                  <w:rFonts w:ascii="Arial" w:hAnsi="Arial" w:cs="Arial"/>
                  <w:color w:val="000000" w:themeColor="text1"/>
                  <w:sz w:val="20"/>
                  <w:szCs w:val="20"/>
                  <w:lang w:val="en-US"/>
                </w:rPr>
                <w:t>Changing Space - The Shrinking World</w:t>
              </w:r>
            </w:hyperlink>
          </w:p>
          <w:p w14:paraId="7484069D" w14:textId="0F394135"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18" w:history="1">
              <w:r w:rsidRPr="00EE2440">
                <w:rPr>
                  <w:rFonts w:ascii="Arial" w:hAnsi="Arial" w:cs="Arial"/>
                  <w:color w:val="000000" w:themeColor="text1"/>
                  <w:sz w:val="20"/>
                  <w:szCs w:val="20"/>
                  <w:lang w:val="en-US"/>
                </w:rPr>
                <w:t>Economic Interactions and Flows</w:t>
              </w:r>
            </w:hyperlink>
          </w:p>
          <w:p w14:paraId="07FEA32F" w14:textId="65C3D1BE"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19" w:history="1">
              <w:r w:rsidRPr="00EE2440">
                <w:rPr>
                  <w:rFonts w:ascii="Arial" w:hAnsi="Arial" w:cs="Arial"/>
                  <w:color w:val="000000" w:themeColor="text1"/>
                  <w:sz w:val="20"/>
                  <w:szCs w:val="20"/>
                  <w:lang w:val="en-US"/>
                </w:rPr>
                <w:t>Environmental Change</w:t>
              </w:r>
            </w:hyperlink>
          </w:p>
          <w:p w14:paraId="4EC6F626" w14:textId="20969F7F"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20" w:history="1">
              <w:r w:rsidRPr="00EE2440">
                <w:rPr>
                  <w:rFonts w:ascii="Arial" w:hAnsi="Arial" w:cs="Arial"/>
                  <w:color w:val="000000" w:themeColor="text1"/>
                  <w:sz w:val="20"/>
                  <w:szCs w:val="20"/>
                  <w:lang w:val="en-US"/>
                </w:rPr>
                <w:t>Sociocultural Exchanges</w:t>
              </w:r>
            </w:hyperlink>
          </w:p>
          <w:p w14:paraId="41DDF2DC" w14:textId="4D8EEBE9"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21" w:history="1">
              <w:r w:rsidRPr="00EE2440">
                <w:rPr>
                  <w:rFonts w:ascii="Arial" w:hAnsi="Arial" w:cs="Arial"/>
                  <w:color w:val="000000" w:themeColor="text1"/>
                  <w:sz w:val="20"/>
                  <w:szCs w:val="20"/>
                  <w:lang w:val="en-US"/>
                </w:rPr>
                <w:t>Political Outcomes</w:t>
              </w:r>
            </w:hyperlink>
          </w:p>
          <w:p w14:paraId="7ABAC0B4" w14:textId="63A4877D" w:rsidR="00C82A65" w:rsidRPr="00EE2440" w:rsidRDefault="00C82A65" w:rsidP="00EE2440">
            <w:pPr>
              <w:pStyle w:val="ListParagraph"/>
              <w:widowControl w:val="0"/>
              <w:numPr>
                <w:ilvl w:val="0"/>
                <w:numId w:val="6"/>
              </w:numPr>
              <w:autoSpaceDE w:val="0"/>
              <w:autoSpaceDN w:val="0"/>
              <w:adjustRightInd w:val="0"/>
              <w:rPr>
                <w:rFonts w:ascii="Arial" w:hAnsi="Arial" w:cs="Arial"/>
                <w:color w:val="000000" w:themeColor="text1"/>
                <w:sz w:val="20"/>
                <w:szCs w:val="20"/>
                <w:lang w:val="en-US"/>
              </w:rPr>
            </w:pPr>
            <w:hyperlink r:id="rId22" w:history="1">
              <w:r w:rsidRPr="00EE2440">
                <w:rPr>
                  <w:rFonts w:ascii="Arial" w:hAnsi="Arial" w:cs="Arial"/>
                  <w:color w:val="000000" w:themeColor="text1"/>
                  <w:sz w:val="20"/>
                  <w:szCs w:val="20"/>
                  <w:lang w:val="en-US"/>
                </w:rPr>
                <w:t>Global Interactions at the Local Level</w:t>
              </w:r>
            </w:hyperlink>
          </w:p>
          <w:p w14:paraId="5BEF4733" w14:textId="77777777" w:rsidR="001025D3" w:rsidRDefault="001025D3" w:rsidP="001025D3"/>
          <w:p w14:paraId="058B5F7E" w14:textId="77777777" w:rsidR="001025D3" w:rsidRDefault="001025D3" w:rsidP="001025D3"/>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lastRenderedPageBreak/>
              <w:t>Assessment</w:t>
            </w:r>
            <w:r w:rsidR="00E64CDB" w:rsidRPr="00F40917">
              <w:rPr>
                <w:rFonts w:ascii="Gill Sans MT" w:hAnsi="Gill Sans MT"/>
                <w:b/>
                <w:sz w:val="28"/>
                <w:szCs w:val="28"/>
              </w:rPr>
              <w:t xml:space="preserve"> details</w:t>
            </w:r>
          </w:p>
        </w:tc>
      </w:tr>
      <w:tr w:rsidR="00E64CDB" w14:paraId="28137B07" w14:textId="77777777" w:rsidTr="00E64CDB">
        <w:tc>
          <w:tcPr>
            <w:tcW w:w="9016" w:type="dxa"/>
          </w:tcPr>
          <w:p w14:paraId="27E16710" w14:textId="7D7C0FD8" w:rsidR="009B6B8B" w:rsidRDefault="009B6B8B" w:rsidP="009B6B8B">
            <w:r>
              <w:t xml:space="preserve"> </w:t>
            </w:r>
          </w:p>
          <w:p w14:paraId="3E09CB4E" w14:textId="0E3E2D7C" w:rsidR="003A79EB" w:rsidRPr="003A79EB" w:rsidRDefault="003A79EB">
            <w:pPr>
              <w:rPr>
                <w:rFonts w:ascii="Arial" w:hAnsi="Arial" w:cs="Arial"/>
                <w:b/>
                <w:sz w:val="20"/>
                <w:szCs w:val="20"/>
              </w:rPr>
            </w:pPr>
            <w:r w:rsidRPr="003A79EB">
              <w:rPr>
                <w:rFonts w:ascii="Arial" w:hAnsi="Arial" w:cs="Arial"/>
                <w:b/>
                <w:sz w:val="20"/>
                <w:szCs w:val="20"/>
              </w:rPr>
              <w:t>Internal Assessment</w:t>
            </w:r>
            <w:r>
              <w:rPr>
                <w:rFonts w:ascii="Arial" w:hAnsi="Arial" w:cs="Arial"/>
                <w:b/>
                <w:sz w:val="20"/>
                <w:szCs w:val="20"/>
              </w:rPr>
              <w:t xml:space="preserve"> (20%)</w:t>
            </w:r>
          </w:p>
          <w:p w14:paraId="6179A911" w14:textId="77777777" w:rsidR="003A79EB" w:rsidRDefault="003A79EB">
            <w:pPr>
              <w:rPr>
                <w:rFonts w:ascii="Arial" w:hAnsi="Arial" w:cs="Arial"/>
                <w:sz w:val="20"/>
                <w:szCs w:val="20"/>
              </w:rPr>
            </w:pPr>
            <w:r w:rsidRPr="003A79EB">
              <w:rPr>
                <w:rFonts w:ascii="Arial" w:hAnsi="Arial" w:cs="Arial"/>
                <w:color w:val="262626"/>
                <w:sz w:val="20"/>
                <w:szCs w:val="20"/>
                <w:lang w:val="en-US"/>
              </w:rPr>
              <w:t>The fieldwork study involves 20 hours of teaching time for both HL and SL students. The study area chosen can be from the core theme, the optional themes, or the global interactions at the local level topic of the HL extension.</w:t>
            </w:r>
          </w:p>
          <w:p w14:paraId="2D55C49F" w14:textId="77777777" w:rsidR="003A79EB" w:rsidRDefault="003A79EB">
            <w:pPr>
              <w:rPr>
                <w:rFonts w:ascii="Arial" w:hAnsi="Arial" w:cs="Arial"/>
                <w:sz w:val="20"/>
                <w:szCs w:val="20"/>
              </w:rPr>
            </w:pPr>
          </w:p>
          <w:p w14:paraId="09489DD2" w14:textId="0263A1FA" w:rsidR="003A79EB" w:rsidRPr="003A79EB" w:rsidRDefault="003A79EB">
            <w:pPr>
              <w:rPr>
                <w:rFonts w:ascii="Arial" w:hAnsi="Arial" w:cs="Arial"/>
                <w:b/>
                <w:sz w:val="20"/>
                <w:szCs w:val="20"/>
              </w:rPr>
            </w:pPr>
            <w:r w:rsidRPr="003A79EB">
              <w:rPr>
                <w:rFonts w:ascii="Arial" w:hAnsi="Arial" w:cs="Arial"/>
                <w:b/>
                <w:sz w:val="20"/>
                <w:szCs w:val="20"/>
              </w:rPr>
              <w:t>Eternal Assessment</w:t>
            </w:r>
            <w:r>
              <w:rPr>
                <w:rFonts w:ascii="Arial" w:hAnsi="Arial" w:cs="Arial"/>
                <w:b/>
                <w:sz w:val="20"/>
                <w:szCs w:val="20"/>
              </w:rPr>
              <w:t xml:space="preserve"> (80%)</w:t>
            </w:r>
          </w:p>
          <w:p w14:paraId="4456A29E" w14:textId="672D2FC0" w:rsidR="00E64CDB" w:rsidRPr="003A79EB" w:rsidRDefault="00EE2440">
            <w:pPr>
              <w:rPr>
                <w:rFonts w:ascii="Arial" w:hAnsi="Arial" w:cs="Arial"/>
                <w:sz w:val="20"/>
                <w:szCs w:val="20"/>
              </w:rPr>
            </w:pPr>
            <w:r w:rsidRPr="003A79EB">
              <w:rPr>
                <w:rFonts w:ascii="Arial" w:hAnsi="Arial" w:cs="Arial"/>
                <w:sz w:val="20"/>
                <w:szCs w:val="20"/>
              </w:rPr>
              <w:t>Paper 1 – Core Themes</w:t>
            </w:r>
          </w:p>
          <w:p w14:paraId="4B8DB416" w14:textId="1CCEB05C" w:rsidR="00EE2440" w:rsidRPr="003A79EB" w:rsidRDefault="00EE2440">
            <w:pPr>
              <w:rPr>
                <w:rFonts w:ascii="Arial" w:hAnsi="Arial" w:cs="Arial"/>
                <w:sz w:val="20"/>
                <w:szCs w:val="20"/>
              </w:rPr>
            </w:pPr>
            <w:r w:rsidRPr="003A79EB">
              <w:rPr>
                <w:rFonts w:ascii="Arial" w:hAnsi="Arial" w:cs="Arial"/>
                <w:sz w:val="20"/>
                <w:szCs w:val="20"/>
              </w:rPr>
              <w:t>Paper 2 – Optional Themes</w:t>
            </w:r>
          </w:p>
          <w:p w14:paraId="405068ED" w14:textId="64F1D3E4" w:rsidR="00EE2440" w:rsidRPr="003A79EB" w:rsidRDefault="00EE2440">
            <w:pPr>
              <w:rPr>
                <w:rFonts w:ascii="Arial" w:hAnsi="Arial" w:cs="Arial"/>
                <w:sz w:val="20"/>
                <w:szCs w:val="20"/>
              </w:rPr>
            </w:pPr>
            <w:r w:rsidRPr="003A79EB">
              <w:rPr>
                <w:rFonts w:ascii="Arial" w:hAnsi="Arial" w:cs="Arial"/>
                <w:sz w:val="20"/>
                <w:szCs w:val="20"/>
              </w:rPr>
              <w:t xml:space="preserve">Paper 3 – HL </w:t>
            </w:r>
            <w:proofErr w:type="spellStart"/>
            <w:r w:rsidRPr="003A79EB">
              <w:rPr>
                <w:rFonts w:ascii="Arial" w:hAnsi="Arial" w:cs="Arial"/>
                <w:sz w:val="20"/>
                <w:szCs w:val="20"/>
              </w:rPr>
              <w:t>extentions</w:t>
            </w:r>
            <w:proofErr w:type="spellEnd"/>
          </w:p>
          <w:p w14:paraId="4AA95BFE" w14:textId="77777777" w:rsidR="00E64CDB" w:rsidRDefault="00E64CDB"/>
          <w:p w14:paraId="5E3AFBE2" w14:textId="77777777" w:rsidR="00E64CDB" w:rsidRDefault="00E64CDB"/>
          <w:p w14:paraId="17DDFA6D" w14:textId="77777777" w:rsidR="00E64CDB" w:rsidRDefault="00E64CDB"/>
          <w:p w14:paraId="39DCDB99" w14:textId="77777777" w:rsidR="00E64CDB" w:rsidRDefault="00E64CDB"/>
          <w:p w14:paraId="68E158AB" w14:textId="77777777" w:rsidR="00E64CDB" w:rsidRDefault="00E64CDB"/>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11"/>
  </w:num>
  <w:num w:numId="8">
    <w:abstractNumId w:val="10"/>
  </w:num>
  <w:num w:numId="9">
    <w:abstractNumId w:val="5"/>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1025D3"/>
    <w:rsid w:val="003A79EB"/>
    <w:rsid w:val="003D2952"/>
    <w:rsid w:val="008B589E"/>
    <w:rsid w:val="009B6B8B"/>
    <w:rsid w:val="00BB29EB"/>
    <w:rsid w:val="00C82A65"/>
    <w:rsid w:val="00DA623B"/>
    <w:rsid w:val="00E64CDB"/>
    <w:rsid w:val="00EE2440"/>
    <w:rsid w:val="00F10637"/>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bgeog2009.wikispaces.com/Freshwater" TargetMode="External"/><Relationship Id="rId20" Type="http://schemas.openxmlformats.org/officeDocument/2006/relationships/hyperlink" Target="http://ibgeog2009.wikispaces.com/Socio_cultural_Exchanges" TargetMode="External"/><Relationship Id="rId21" Type="http://schemas.openxmlformats.org/officeDocument/2006/relationships/hyperlink" Target="http://ibgeog2009.wikispaces.com/Political_Outcomes" TargetMode="External"/><Relationship Id="rId22" Type="http://schemas.openxmlformats.org/officeDocument/2006/relationships/hyperlink" Target="http://ibgeog2009.wikispaces.com/Global_Interactions_Local_Leve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bgeog2009.wikispaces.com/Oceans_Coastal_Margins" TargetMode="External"/><Relationship Id="rId11" Type="http://schemas.openxmlformats.org/officeDocument/2006/relationships/hyperlink" Target="http://ibgeog2009.wikispaces.com/Extreme_Environment" TargetMode="External"/><Relationship Id="rId12" Type="http://schemas.openxmlformats.org/officeDocument/2006/relationships/hyperlink" Target="http://ibgeog2009.wikispaces.com/Hazards_and_Disasters" TargetMode="External"/><Relationship Id="rId13" Type="http://schemas.openxmlformats.org/officeDocument/2006/relationships/hyperlink" Target="http://ibgeog2009.wikispaces.com/Leisure_Sport_Tourism" TargetMode="External"/><Relationship Id="rId14" Type="http://schemas.openxmlformats.org/officeDocument/2006/relationships/hyperlink" Target="http://ibgeog2009.wikispaces.com/Food_and_Health" TargetMode="External"/><Relationship Id="rId15" Type="http://schemas.openxmlformats.org/officeDocument/2006/relationships/hyperlink" Target="http://ibgeog2009.wikispaces.com/Urban_Environments" TargetMode="External"/><Relationship Id="rId16" Type="http://schemas.openxmlformats.org/officeDocument/2006/relationships/hyperlink" Target="http://ibgeog2009.wikispaces.com/Measuring_Global_Interactions" TargetMode="External"/><Relationship Id="rId17" Type="http://schemas.openxmlformats.org/officeDocument/2006/relationships/hyperlink" Target="http://ibgeog2009.wikispaces.com/Changing_Space" TargetMode="External"/><Relationship Id="rId18" Type="http://schemas.openxmlformats.org/officeDocument/2006/relationships/hyperlink" Target="http://ibgeog2009.wikispaces.com/Economic_Interactions" TargetMode="External"/><Relationship Id="rId19" Type="http://schemas.openxmlformats.org/officeDocument/2006/relationships/hyperlink" Target="http://ibgeog2009.wikispaces.com/Environmental_Chan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hyperlink" Target="http://ibgeog2009.wikispaces.com/Environmental_Quality_Sustainability_Patterns" TargetMode="External"/><Relationship Id="rId8" Type="http://schemas.openxmlformats.org/officeDocument/2006/relationships/hyperlink" Target="http://ibgeog2009.wikispaces.com/Resource_Consumption_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4</cp:revision>
  <dcterms:created xsi:type="dcterms:W3CDTF">2016-11-14T16:50:00Z</dcterms:created>
  <dcterms:modified xsi:type="dcterms:W3CDTF">2016-11-14T16:54:00Z</dcterms:modified>
</cp:coreProperties>
</file>